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7B" w:rsidRPr="00572D7B" w:rsidRDefault="00572D7B" w:rsidP="00572D7B">
      <w:pPr>
        <w:jc w:val="center"/>
        <w:rPr>
          <w:rFonts w:ascii="TT Norms Bold" w:eastAsia="Times New Roman" w:hAnsi="TT Norms Bold" w:cs="Times New Roman"/>
          <w:b/>
          <w:color w:val="002060"/>
          <w:sz w:val="20"/>
          <w:szCs w:val="20"/>
          <w:u w:val="single"/>
          <w:lang w:val="es-ES"/>
        </w:rPr>
      </w:pPr>
      <w:r w:rsidRPr="00572D7B">
        <w:rPr>
          <w:rFonts w:ascii="TT Norms Bold" w:eastAsia="Times New Roman" w:hAnsi="TT Norms Bold" w:cs="Times New Roman"/>
          <w:b/>
          <w:color w:val="002060"/>
          <w:sz w:val="20"/>
          <w:szCs w:val="20"/>
          <w:u w:val="single"/>
          <w:lang w:val="es-ES"/>
        </w:rPr>
        <w:t>PROTOCOLO DE INVESTIGACIÓN</w:t>
      </w:r>
    </w:p>
    <w:p w:rsidR="00572D7B" w:rsidRPr="00572D7B" w:rsidRDefault="00572D7B" w:rsidP="00572D7B">
      <w:pPr>
        <w:jc w:val="center"/>
        <w:rPr>
          <w:rFonts w:ascii="TT Norms Light" w:eastAsia="Times New Roman" w:hAnsi="TT Norms Light" w:cs="Times New Roman"/>
          <w:b/>
          <w:color w:val="002060"/>
          <w:sz w:val="20"/>
          <w:szCs w:val="20"/>
          <w:u w:val="single"/>
          <w:lang w:val="es-ES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1. Equipo del Proyecto y contribuciones:</w:t>
      </w:r>
    </w:p>
    <w:p w:rsidR="00572D7B" w:rsidRPr="00572D7B" w:rsidRDefault="00572D7B" w:rsidP="00572D7B">
      <w:pPr>
        <w:autoSpaceDE w:val="0"/>
        <w:autoSpaceDN w:val="0"/>
        <w:adjustRightInd w:val="0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bookmarkStart w:id="0" w:name="_heading=h.a4zjpp92gxxz"/>
      <w:bookmarkEnd w:id="0"/>
    </w:p>
    <w:p w:rsidR="00572D7B" w:rsidRPr="00572D7B" w:rsidRDefault="00572D7B" w:rsidP="00572D7B">
      <w:pPr>
        <w:autoSpaceDE w:val="0"/>
        <w:autoSpaceDN w:val="0"/>
        <w:adjustRightInd w:val="0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autoSpaceDE w:val="0"/>
        <w:autoSpaceDN w:val="0"/>
        <w:adjustRightInd w:val="0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autoSpaceDE w:val="0"/>
        <w:autoSpaceDN w:val="0"/>
        <w:adjustRightInd w:val="0"/>
        <w:jc w:val="both"/>
        <w:rPr>
          <w:rFonts w:ascii="TT Norms Light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2. Título del proyecto: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  <w:bookmarkStart w:id="1" w:name="_GoBack"/>
      <w:bookmarkEnd w:id="1"/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3. Objetivo del proyecto:</w:t>
      </w:r>
    </w:p>
    <w:p w:rsidR="00572D7B" w:rsidRPr="00572D7B" w:rsidRDefault="00572D7B" w:rsidP="00572D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val="es-PE"/>
        </w:rPr>
      </w:pPr>
      <w:r w:rsidRPr="00572D7B">
        <w:rPr>
          <w:rFonts w:ascii="TT Norms Light" w:hAnsi="TT Norms Light" w:cs="Times New Roman"/>
          <w:color w:val="002060"/>
          <w:sz w:val="20"/>
          <w:szCs w:val="20"/>
          <w:lang w:val="es-PE"/>
        </w:rPr>
        <w:t>General</w:t>
      </w:r>
    </w:p>
    <w:p w:rsidR="00572D7B" w:rsidRPr="00572D7B" w:rsidRDefault="00572D7B" w:rsidP="00572D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T Norms Light" w:eastAsia="Times New Roman" w:hAnsi="TT Norms Light" w:cs="Times New Roman"/>
          <w:color w:val="002060"/>
          <w:sz w:val="20"/>
          <w:szCs w:val="20"/>
          <w:lang w:val="es-PE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  <w:lang w:val="es-PE"/>
        </w:rPr>
        <w:t>Específicos</w:t>
      </w:r>
    </w:p>
    <w:p w:rsidR="00572D7B" w:rsidRPr="00572D7B" w:rsidRDefault="00572D7B" w:rsidP="00572D7B">
      <w:pPr>
        <w:ind w:left="720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ind w:left="720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4. Justificación del proyecto:</w:t>
      </w:r>
    </w:p>
    <w:p w:rsidR="00572D7B" w:rsidRPr="00572D7B" w:rsidRDefault="00572D7B" w:rsidP="00572D7B">
      <w:pPr>
        <w:spacing w:before="120" w:after="120"/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spacing w:before="120" w:after="120"/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5. Declaración de métodos alternativos (marque con una “X”):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572D7B" w:rsidRPr="00572D7B" w:rsidTr="00572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El procedimiento propuesto es un método alternativo</w:t>
            </w:r>
          </w:p>
        </w:tc>
      </w:tr>
      <w:tr w:rsidR="00572D7B" w:rsidRPr="00572D7B" w:rsidTr="00572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No existe método alternativo al procedimiento</w:t>
            </w:r>
          </w:p>
        </w:tc>
      </w:tr>
      <w:tr w:rsidR="00572D7B" w:rsidRPr="00572D7B" w:rsidTr="00572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 xml:space="preserve">Existen métodos </w:t>
            </w:r>
            <w:proofErr w:type="gramStart"/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alternativos</w:t>
            </w:r>
            <w:proofErr w:type="gramEnd"/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 xml:space="preserve"> pero no están validados</w:t>
            </w:r>
          </w:p>
        </w:tc>
      </w:tr>
      <w:tr w:rsidR="00572D7B" w:rsidRPr="00572D7B" w:rsidTr="00572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 xml:space="preserve">Otros motivos: </w:t>
            </w: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5.1. Justifique su respuesta: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5.2. Justificación del uso de animales:</w:t>
      </w:r>
    </w:p>
    <w:p w:rsidR="00572D7B" w:rsidRPr="00572D7B" w:rsidRDefault="00572D7B" w:rsidP="00572D7B">
      <w:pPr>
        <w:rPr>
          <w:rFonts w:ascii="TT Norms Light" w:hAnsi="TT Norms Light" w:cstheme="minorHAnsi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6. Identificación de los animales y número previsto de animales que se va a utilizar: 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6.1. Identificación de los animales: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</w:tblGrid>
      <w:tr w:rsidR="00572D7B" w:rsidRPr="00572D7B" w:rsidTr="00572D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Especie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Sexo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Edad o peso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6.2. Origen de los animales: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1134"/>
      </w:tblGrid>
      <w:tr w:rsidR="00572D7B" w:rsidRPr="00572D7B" w:rsidTr="00572D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Granja tecnificada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jc w:val="center"/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Criadero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Bioterio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6.3. Tipo de contención utilizada para el transporte: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67"/>
      </w:tblGrid>
      <w:tr w:rsidR="00572D7B" w:rsidRPr="00572D7B" w:rsidTr="00572D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Jaula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Caja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Camión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jc w:val="center"/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lastRenderedPageBreak/>
        <w:t>6.4. Duración del transporte: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67"/>
      </w:tblGrid>
      <w:tr w:rsidR="00572D7B" w:rsidRPr="00572D7B" w:rsidTr="00572D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Menos de 2 horas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jc w:val="center"/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De 2 a 6 horas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Más de 6 horas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6.5 Número de animales que se utilizarán: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</w:tblGrid>
      <w:tr w:rsidR="00572D7B" w:rsidRPr="00572D7B" w:rsidTr="00572D7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 xml:space="preserve">Número de animales a utilizar por grupo experimental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Número de grupos experimentales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proofErr w:type="gramStart"/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Total</w:t>
            </w:r>
            <w:proofErr w:type="gramEnd"/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 xml:space="preserve"> de animales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</w:rPr>
            </w:pPr>
          </w:p>
        </w:tc>
      </w:tr>
    </w:tbl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6.6. Tiempo de adaptación </w:t>
      </w: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a las instalaciones experimentales</w:t>
      </w: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 </w:t>
      </w: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previo al inicio de la experiencia:</w:t>
      </w: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  <w:u w:val="single"/>
        </w:rPr>
        <w:t xml:space="preserve">                                </w:t>
      </w:r>
      <w:proofErr w:type="gramStart"/>
      <w:r w:rsidRPr="00572D7B">
        <w:rPr>
          <w:rFonts w:ascii="TT Norms Light" w:eastAsia="Times New Roman" w:hAnsi="TT Norms Light" w:cs="Times New Roman"/>
          <w:color w:val="002060"/>
          <w:sz w:val="20"/>
          <w:szCs w:val="20"/>
          <w:u w:val="single"/>
        </w:rPr>
        <w:t xml:space="preserve">  .</w:t>
      </w:r>
      <w:proofErr w:type="gramEnd"/>
      <w:r w:rsidRPr="00572D7B">
        <w:rPr>
          <w:rFonts w:ascii="TT Norms Light" w:eastAsia="Times New Roman" w:hAnsi="TT Norms Light" w:cs="Times New Roman"/>
          <w:color w:val="002060"/>
          <w:sz w:val="20"/>
          <w:szCs w:val="20"/>
          <w:u w:val="single"/>
        </w:rPr>
        <w:t xml:space="preserve"> 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7. Diseño estadístico: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7.1. Indique si es que ha planteado la idoneidad del diseño experimental y el número de animales a utilizar desde un punto de vista estadístico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</w:tblGrid>
      <w:tr w:rsidR="00572D7B" w:rsidRPr="00572D7B" w:rsidTr="00572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  <w:tr w:rsidR="00572D7B" w:rsidRPr="00572D7B" w:rsidTr="00572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</w:p>
        </w:tc>
      </w:tr>
    </w:tbl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7.2. </w:t>
      </w: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Justifique su respuesta</w:t>
      </w: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 (si es afirmativa, explique el planteamiento, si es negativa, señale por qué el proyecto planteado no requiere de esa especificación):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 </w:t>
      </w: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8. Naturaleza del experimento: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8532"/>
      </w:tblGrid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jc w:val="both"/>
              <w:rPr>
                <w:rFonts w:ascii="TT Norms Light" w:eastAsia="Times New Roman" w:hAnsi="TT Norms Light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jc w:val="both"/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Sigue directrices oficiales.</w:t>
            </w:r>
          </w:p>
        </w:tc>
      </w:tr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b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jc w:val="both"/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No sigue directrices oficiales, pero adjunta copia de publicaciones que utilizan un diseño similar.</w:t>
            </w:r>
          </w:p>
        </w:tc>
      </w:tr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b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>No sigue directrices oficiales ni existen publicaciones que utilicen un diseño similar.</w:t>
            </w: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9. Severidad</w:t>
      </w:r>
      <w:r w:rsidRPr="00572D7B">
        <w:rPr>
          <w:rStyle w:val="Refdenotaalpie"/>
          <w:rFonts w:ascii="TT Norms Light" w:eastAsia="Times New Roman" w:hAnsi="TT Norms Light" w:cs="Times New Roman"/>
          <w:b/>
          <w:color w:val="002060"/>
          <w:sz w:val="20"/>
          <w:szCs w:val="20"/>
        </w:rPr>
        <w:footnoteReference w:id="1"/>
      </w: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 del/</w:t>
      </w:r>
      <w:proofErr w:type="gramStart"/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de los experimento</w:t>
      </w:r>
      <w:proofErr w:type="gramEnd"/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/s a realizar</w:t>
      </w:r>
      <w:r w:rsidRPr="00572D7B">
        <w:rPr>
          <w:rStyle w:val="Refdenotaalpie"/>
          <w:rFonts w:ascii="TT Norms Light" w:eastAsia="Times New Roman" w:hAnsi="TT Norms Light" w:cs="Times New Roman"/>
          <w:b/>
          <w:color w:val="002060"/>
          <w:sz w:val="20"/>
          <w:szCs w:val="20"/>
        </w:rPr>
        <w:footnoteReference w:id="2"/>
      </w: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8532"/>
      </w:tblGrid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b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jc w:val="both"/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eastAsia="Times New Roman" w:hAnsi="TT Norms Light" w:cs="Times New Roman"/>
                <w:color w:val="002060"/>
                <w:sz w:val="20"/>
                <w:szCs w:val="20"/>
                <w:lang w:val="es-PE"/>
              </w:rPr>
              <w:t xml:space="preserve">Sin recuperación: Aquellos procedimientos que se realizan enteramente bajo anestesia general tras la cual el animal no recuperará la conciencia. </w:t>
            </w:r>
          </w:p>
        </w:tc>
      </w:tr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bCs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pStyle w:val="NormalWeb"/>
              <w:jc w:val="both"/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Leve: Aquellos procedimientos en animales a consecuencia de los cuales es probable que experimenten dolor, sufrimiento o angustia leves de corta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duración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,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asi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́ como los procedimientos sin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alteración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 significativa del bienestar o del estado general de los animales. </w:t>
            </w:r>
          </w:p>
        </w:tc>
      </w:tr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bCs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pStyle w:val="NormalWeb"/>
              <w:jc w:val="both"/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Moderado: Aquellos procedimientos en animales a consecuencia de los cuales es probable que experimenten dolor, sufrimiento o angustia moderados de corta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duración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, o leves pero duraderos,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asi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́ como los procedimientos que pudieran causar una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alteración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 moderada del bienestar o el estado general de los animales.</w:t>
            </w:r>
          </w:p>
        </w:tc>
      </w:tr>
      <w:tr w:rsidR="00572D7B" w:rsidRPr="00572D7B" w:rsidTr="00572D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7B" w:rsidRPr="00572D7B" w:rsidRDefault="00572D7B">
            <w:pPr>
              <w:rPr>
                <w:rFonts w:ascii="TT Norms Light" w:eastAsia="Times New Roman" w:hAnsi="TT Norms Light" w:cs="Times New Roman"/>
                <w:b/>
                <w:color w:val="002060"/>
                <w:sz w:val="20"/>
                <w:szCs w:val="20"/>
                <w:lang w:val="es-PE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7B" w:rsidRPr="00572D7B" w:rsidRDefault="00572D7B">
            <w:pPr>
              <w:pStyle w:val="NormalWeb"/>
              <w:jc w:val="both"/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</w:pPr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Severo: Aquellos procedimientos en animales a consecuencia de los cuales es probable que experimenten dolor, sufrimiento o angustia intensos, o moderados pero duraderos,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asi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́ como los procedimientos que pudieran causar una </w:t>
            </w:r>
            <w:proofErr w:type="spellStart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>alteración</w:t>
            </w:r>
            <w:proofErr w:type="spellEnd"/>
            <w:r w:rsidRPr="00572D7B">
              <w:rPr>
                <w:rFonts w:ascii="TT Norms Light" w:hAnsi="TT Norms Light"/>
                <w:color w:val="002060"/>
                <w:sz w:val="20"/>
                <w:szCs w:val="20"/>
                <w:lang w:val="es-PE"/>
              </w:rPr>
              <w:t xml:space="preserve"> grave del bienestar o del estado general de los animales.</w:t>
            </w:r>
          </w:p>
        </w:tc>
      </w:tr>
    </w:tbl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10. Descripción del diseño experimental y el/</w:t>
      </w:r>
      <w:proofErr w:type="gramStart"/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los procedimiento</w:t>
      </w:r>
      <w:proofErr w:type="gramEnd"/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/s a realizar en los animales: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11. Animales, alojamiento, bioseguridad y alimentación: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12. Anestesia y estabilidad del animal: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numPr>
          <w:ilvl w:val="0"/>
          <w:numId w:val="2"/>
        </w:numPr>
        <w:ind w:left="425" w:hanging="425"/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PRE-MEDICACIÓN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ADMINISTRACIÓN DE FLUIDOS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numPr>
          <w:ilvl w:val="0"/>
          <w:numId w:val="2"/>
        </w:numPr>
        <w:ind w:left="425" w:hanging="425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 TOMA DE MUESTRAS Y MONITOREO </w:t>
      </w:r>
    </w:p>
    <w:p w:rsidR="00572D7B" w:rsidRPr="00572D7B" w:rsidRDefault="00572D7B" w:rsidP="00572D7B">
      <w:pPr>
        <w:pStyle w:val="Prrafodelista"/>
        <w:spacing w:after="0" w:line="240" w:lineRule="auto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numPr>
          <w:ilvl w:val="0"/>
          <w:numId w:val="2"/>
        </w:numPr>
        <w:ind w:left="425" w:hanging="425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DROGAS DE RESCATE (EMERGENCIA)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13. Aplicación de la droga o dispositivo biomédico que está probando: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14. Eutanasia y toma de muestras post mortem </w:t>
      </w: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(si fuera el caso):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15. Punto final humanitario</w:t>
      </w:r>
      <w:r w:rsidRPr="00572D7B">
        <w:rPr>
          <w:rStyle w:val="Refdenotaalpie"/>
          <w:rFonts w:ascii="TT Norms Light" w:eastAsia="Times New Roman" w:hAnsi="TT Norms Light" w:cs="Times New Roman"/>
          <w:b/>
          <w:color w:val="002060"/>
          <w:sz w:val="20"/>
          <w:szCs w:val="20"/>
        </w:rPr>
        <w:footnoteReference w:id="3"/>
      </w: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16. Aspectos éticos: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16.1. Aprobación Ética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Se solicitará la aprobación del Protocolo de Investigación al Comité de Ética de la Investigación para Ciencias de la Vida y Tecnologías de la Pontificia Universidad Católica del Perú.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16.2. Operacionalización de los principios éticos previstos en el reglamento del Comité de Ética e la Investigación para Ciencias de la Vida y Tecnologías – PUCP (</w:t>
      </w: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si tuviera algo que añadir en torno a los principios estipulados en el reglamento del CEI-</w:t>
      </w:r>
      <w:proofErr w:type="spellStart"/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CVyTech</w:t>
      </w:r>
      <w:proofErr w:type="spellEnd"/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 que </w:t>
      </w:r>
      <w:proofErr w:type="spellStart"/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>nohaya</w:t>
      </w:r>
      <w:proofErr w:type="spellEnd"/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 podido señalar antes).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lastRenderedPageBreak/>
        <w:t>Principio de reemplazo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>Principio de reducción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Principio de refinamiento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Principio de balance daño-beneficio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Principio preventivo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Principio de precaución o precautorio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color w:val="002060"/>
          <w:sz w:val="20"/>
          <w:szCs w:val="20"/>
        </w:rPr>
        <w:t xml:space="preserve">  </w:t>
      </w:r>
    </w:p>
    <w:p w:rsidR="00572D7B" w:rsidRPr="00572D7B" w:rsidRDefault="00572D7B" w:rsidP="00572D7B">
      <w:pPr>
        <w:jc w:val="both"/>
        <w:rPr>
          <w:rFonts w:ascii="TT Norms Light" w:eastAsia="Times New Roman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eastAsia="Times New Roman" w:hAnsi="TT Norms Light" w:cs="Times New Roman"/>
          <w:b/>
          <w:color w:val="002060"/>
          <w:sz w:val="20"/>
          <w:szCs w:val="20"/>
        </w:rPr>
        <w:t xml:space="preserve">Principio de responsabilidad </w:t>
      </w:r>
    </w:p>
    <w:p w:rsidR="00572D7B" w:rsidRPr="00572D7B" w:rsidRDefault="00572D7B" w:rsidP="00572D7B">
      <w:pPr>
        <w:rPr>
          <w:rFonts w:ascii="TT Norms Light" w:eastAsia="Times New Roman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hAnsi="TT Norms Light" w:cs="Times New Roman"/>
          <w:b/>
          <w:color w:val="002060"/>
          <w:sz w:val="20"/>
          <w:szCs w:val="20"/>
        </w:rPr>
      </w:pPr>
    </w:p>
    <w:p w:rsidR="00572D7B" w:rsidRPr="00572D7B" w:rsidRDefault="00572D7B" w:rsidP="00572D7B">
      <w:pPr>
        <w:rPr>
          <w:rFonts w:ascii="TT Norms Light" w:hAnsi="TT Norms Light" w:cs="Times New Roman"/>
          <w:b/>
          <w:color w:val="002060"/>
          <w:sz w:val="20"/>
          <w:szCs w:val="20"/>
        </w:rPr>
      </w:pPr>
      <w:r w:rsidRPr="00572D7B">
        <w:rPr>
          <w:rFonts w:ascii="TT Norms Light" w:hAnsi="TT Norms Light" w:cs="Times New Roman"/>
          <w:b/>
          <w:color w:val="002060"/>
          <w:sz w:val="20"/>
          <w:szCs w:val="20"/>
        </w:rPr>
        <w:t>17. Resultados esperados</w:t>
      </w:r>
    </w:p>
    <w:p w:rsidR="00572D7B" w:rsidRPr="00572D7B" w:rsidRDefault="00572D7B" w:rsidP="00572D7B">
      <w:pPr>
        <w:ind w:left="720"/>
        <w:rPr>
          <w:rFonts w:ascii="TT Norms Light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ind w:left="720"/>
        <w:rPr>
          <w:rFonts w:ascii="TT Norms Light" w:hAnsi="TT Norms Light" w:cs="Times New Roman"/>
          <w:color w:val="002060"/>
          <w:sz w:val="20"/>
          <w:szCs w:val="20"/>
        </w:rPr>
      </w:pPr>
    </w:p>
    <w:p w:rsidR="00572D7B" w:rsidRPr="00572D7B" w:rsidRDefault="00572D7B" w:rsidP="00572D7B">
      <w:pPr>
        <w:pStyle w:val="Default"/>
        <w:rPr>
          <w:rFonts w:ascii="TT Norms Light" w:hAnsi="TT Norms Light" w:cs="Times New Roman"/>
          <w:color w:val="002060"/>
          <w:sz w:val="20"/>
          <w:szCs w:val="20"/>
          <w:lang w:val="es-PE"/>
        </w:rPr>
      </w:pPr>
    </w:p>
    <w:p w:rsidR="00572D7B" w:rsidRPr="00572D7B" w:rsidRDefault="00572D7B" w:rsidP="00572D7B">
      <w:pPr>
        <w:pStyle w:val="Default"/>
        <w:rPr>
          <w:rFonts w:ascii="TT Norms Light" w:hAnsi="TT Norms Light" w:cs="Times New Roman"/>
          <w:b/>
          <w:color w:val="002060"/>
          <w:sz w:val="20"/>
          <w:szCs w:val="20"/>
          <w:lang w:val="es-PE"/>
        </w:rPr>
      </w:pPr>
      <w:r w:rsidRPr="00572D7B">
        <w:rPr>
          <w:rFonts w:ascii="TT Norms Light" w:hAnsi="TT Norms Light" w:cs="Times New Roman"/>
          <w:b/>
          <w:color w:val="002060"/>
          <w:sz w:val="20"/>
          <w:szCs w:val="20"/>
          <w:lang w:val="es-PE"/>
        </w:rPr>
        <w:t>18. Bibliografía</w:t>
      </w:r>
    </w:p>
    <w:p w:rsidR="00572D7B" w:rsidRPr="00572D7B" w:rsidRDefault="00572D7B" w:rsidP="00572D7B">
      <w:pPr>
        <w:pStyle w:val="Default"/>
        <w:rPr>
          <w:rFonts w:asciiTheme="minorHAnsi" w:hAnsiTheme="minorHAnsi" w:cs="Times New Roman"/>
          <w:color w:val="002060"/>
          <w:lang w:val="es-PE"/>
        </w:rPr>
      </w:pPr>
    </w:p>
    <w:p w:rsidR="00572D7B" w:rsidRPr="00572D7B" w:rsidRDefault="00572D7B" w:rsidP="00572D7B">
      <w:pPr>
        <w:rPr>
          <w:color w:val="002060"/>
        </w:rPr>
      </w:pPr>
    </w:p>
    <w:p w:rsidR="00B25641" w:rsidRPr="00572D7B" w:rsidRDefault="00B25641">
      <w:pPr>
        <w:rPr>
          <w:color w:val="002060"/>
        </w:rPr>
      </w:pPr>
    </w:p>
    <w:p w:rsidR="00EB7F61" w:rsidRPr="00572D7B" w:rsidRDefault="00EB7F61">
      <w:pPr>
        <w:rPr>
          <w:color w:val="002060"/>
        </w:rPr>
      </w:pPr>
    </w:p>
    <w:p w:rsidR="00EB7F61" w:rsidRPr="00572D7B" w:rsidRDefault="00EB7F61">
      <w:pPr>
        <w:rPr>
          <w:color w:val="002060"/>
        </w:rPr>
      </w:pPr>
    </w:p>
    <w:p w:rsidR="00EB7F61" w:rsidRPr="00572D7B" w:rsidRDefault="00EB7F61">
      <w:pPr>
        <w:rPr>
          <w:color w:val="002060"/>
        </w:rPr>
      </w:pPr>
    </w:p>
    <w:sectPr w:rsidR="00EB7F61" w:rsidRPr="00572D7B" w:rsidSect="00652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7" w:right="1701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C4" w:rsidRDefault="000D2CC4" w:rsidP="00D4767A">
      <w:r>
        <w:separator/>
      </w:r>
    </w:p>
  </w:endnote>
  <w:endnote w:type="continuationSeparator" w:id="0">
    <w:p w:rsidR="000D2CC4" w:rsidRDefault="000D2CC4" w:rsidP="00D4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Bold">
    <w:panose1 w:val="02000803040000020004"/>
    <w:charset w:val="00"/>
    <w:family w:val="modern"/>
    <w:notTrueType/>
    <w:pitch w:val="variable"/>
    <w:sig w:usb0="00000207" w:usb1="00000001" w:usb2="00000000" w:usb3="00000000" w:csb0="00000097" w:csb1="00000000"/>
  </w:font>
  <w:font w:name="TT Norms Light">
    <w:panose1 w:val="0200050302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687DF4" w:rsidRDefault="00687DF4" w:rsidP="00687DF4">
    <w:pPr>
      <w:pStyle w:val="Piedepgina"/>
      <w:jc w:val="center"/>
      <w:rPr>
        <w:color w:val="042354"/>
        <w:sz w:val="16"/>
        <w:szCs w:val="16"/>
        <w:lang w:val="es-ES"/>
      </w:rPr>
    </w:pPr>
    <w:r w:rsidRPr="00562551">
      <w:rPr>
        <w:color w:val="042354"/>
        <w:sz w:val="16"/>
        <w:szCs w:val="16"/>
        <w:lang w:val="es-ES"/>
      </w:rPr>
      <w:t xml:space="preserve">Av. Universitaria 1801 – San Miguel, Lima, Perú.     |     T: (511) 626-2260     |     </w:t>
    </w:r>
    <w:r w:rsidRPr="00562551">
      <w:rPr>
        <w:b/>
        <w:color w:val="042354"/>
        <w:sz w:val="16"/>
        <w:szCs w:val="16"/>
        <w:lang w:val="es-ES"/>
      </w:rPr>
      <w:t>investigacion.pucp.edu.pe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C4" w:rsidRDefault="000D2CC4" w:rsidP="00D4767A">
      <w:r>
        <w:separator/>
      </w:r>
    </w:p>
  </w:footnote>
  <w:footnote w:type="continuationSeparator" w:id="0">
    <w:p w:rsidR="000D2CC4" w:rsidRDefault="000D2CC4" w:rsidP="00D4767A">
      <w:r>
        <w:continuationSeparator/>
      </w:r>
    </w:p>
  </w:footnote>
  <w:footnote w:id="1">
    <w:p w:rsidR="00572D7B" w:rsidRDefault="00572D7B" w:rsidP="00572D7B">
      <w:pPr>
        <w:pStyle w:val="Textonotapie"/>
        <w:jc w:val="both"/>
        <w:rPr>
          <w:color w:val="002060"/>
          <w:lang w:val="es-ES"/>
        </w:rPr>
      </w:pPr>
      <w:r>
        <w:rPr>
          <w:rStyle w:val="Refdenotaalpie"/>
          <w:color w:val="002060"/>
        </w:rPr>
        <w:footnoteRef/>
      </w:r>
      <w:r>
        <w:rPr>
          <w:color w:val="002060"/>
          <w:lang w:val="es-PE"/>
        </w:rPr>
        <w:t xml:space="preserve"> La </w:t>
      </w:r>
      <w:proofErr w:type="spellStart"/>
      <w:r>
        <w:rPr>
          <w:color w:val="002060"/>
          <w:lang w:val="es-PE"/>
        </w:rPr>
        <w:t>clasificación</w:t>
      </w:r>
      <w:proofErr w:type="spellEnd"/>
      <w:r>
        <w:rPr>
          <w:color w:val="002060"/>
          <w:lang w:val="es-PE"/>
        </w:rPr>
        <w:t xml:space="preserve"> de severidad se aplica a los procedimientos. La severidad de un procedimiento viene determinada por el grado de dolor, sufrimiento, </w:t>
      </w:r>
      <w:proofErr w:type="spellStart"/>
      <w:r>
        <w:rPr>
          <w:color w:val="002060"/>
          <w:lang w:val="es-PE"/>
        </w:rPr>
        <w:t>distrés</w:t>
      </w:r>
      <w:proofErr w:type="spellEnd"/>
      <w:r>
        <w:rPr>
          <w:color w:val="002060"/>
          <w:lang w:val="es-PE"/>
        </w:rPr>
        <w:t xml:space="preserve"> o </w:t>
      </w:r>
      <w:proofErr w:type="spellStart"/>
      <w:r>
        <w:rPr>
          <w:color w:val="002060"/>
          <w:lang w:val="es-PE"/>
        </w:rPr>
        <w:t>daño</w:t>
      </w:r>
      <w:proofErr w:type="spellEnd"/>
      <w:r>
        <w:rPr>
          <w:color w:val="002060"/>
          <w:lang w:val="es-PE"/>
        </w:rPr>
        <w:t xml:space="preserve"> duradero que se espera que experimente un animal durante el procedimiento. Se debe tener en cuenta cualquier </w:t>
      </w:r>
      <w:proofErr w:type="spellStart"/>
      <w:r>
        <w:rPr>
          <w:color w:val="002060"/>
          <w:lang w:val="es-PE"/>
        </w:rPr>
        <w:t>manipulación</w:t>
      </w:r>
      <w:proofErr w:type="spellEnd"/>
      <w:r>
        <w:rPr>
          <w:color w:val="002060"/>
          <w:lang w:val="es-PE"/>
        </w:rPr>
        <w:t xml:space="preserve"> o </w:t>
      </w:r>
      <w:proofErr w:type="spellStart"/>
      <w:r>
        <w:rPr>
          <w:color w:val="002060"/>
          <w:lang w:val="es-PE"/>
        </w:rPr>
        <w:t>intervención</w:t>
      </w:r>
      <w:proofErr w:type="spellEnd"/>
      <w:r>
        <w:rPr>
          <w:color w:val="002060"/>
          <w:lang w:val="es-PE"/>
        </w:rPr>
        <w:t xml:space="preserve"> sobre el animal, y en basarse al efecto </w:t>
      </w:r>
      <w:proofErr w:type="spellStart"/>
      <w:r>
        <w:rPr>
          <w:color w:val="002060"/>
          <w:lang w:val="es-PE"/>
        </w:rPr>
        <w:t>más</w:t>
      </w:r>
      <w:proofErr w:type="spellEnd"/>
      <w:r>
        <w:rPr>
          <w:color w:val="002060"/>
          <w:lang w:val="es-PE"/>
        </w:rPr>
        <w:t xml:space="preserve"> severo que experimente un animal, </w:t>
      </w:r>
      <w:proofErr w:type="spellStart"/>
      <w:r>
        <w:rPr>
          <w:color w:val="002060"/>
          <w:lang w:val="es-PE"/>
        </w:rPr>
        <w:t>después</w:t>
      </w:r>
      <w:proofErr w:type="spellEnd"/>
      <w:r>
        <w:rPr>
          <w:color w:val="002060"/>
          <w:lang w:val="es-PE"/>
        </w:rPr>
        <w:t xml:space="preserve"> de haber aplicado las </w:t>
      </w:r>
      <w:proofErr w:type="spellStart"/>
      <w:r>
        <w:rPr>
          <w:color w:val="002060"/>
          <w:lang w:val="es-PE"/>
        </w:rPr>
        <w:t>técnicas</w:t>
      </w:r>
      <w:proofErr w:type="spellEnd"/>
      <w:r>
        <w:rPr>
          <w:color w:val="002060"/>
          <w:lang w:val="es-PE"/>
        </w:rPr>
        <w:t xml:space="preserve"> de refinamiento apropiadas y en la </w:t>
      </w:r>
      <w:proofErr w:type="spellStart"/>
      <w:r>
        <w:rPr>
          <w:color w:val="002060"/>
          <w:lang w:val="es-PE"/>
        </w:rPr>
        <w:t>repetición</w:t>
      </w:r>
      <w:proofErr w:type="spellEnd"/>
      <w:r>
        <w:rPr>
          <w:color w:val="002060"/>
          <w:lang w:val="es-PE"/>
        </w:rPr>
        <w:t xml:space="preserve"> de las manipulaciones o </w:t>
      </w:r>
      <w:proofErr w:type="spellStart"/>
      <w:r>
        <w:rPr>
          <w:color w:val="002060"/>
          <w:lang w:val="es-PE"/>
        </w:rPr>
        <w:t>duración</w:t>
      </w:r>
      <w:proofErr w:type="spellEnd"/>
      <w:r>
        <w:rPr>
          <w:color w:val="002060"/>
          <w:lang w:val="es-PE"/>
        </w:rPr>
        <w:t xml:space="preserve"> del efecto que estas provoquen. Esta </w:t>
      </w:r>
      <w:proofErr w:type="spellStart"/>
      <w:r>
        <w:rPr>
          <w:color w:val="002060"/>
          <w:lang w:val="es-PE"/>
        </w:rPr>
        <w:t>asignación</w:t>
      </w:r>
      <w:proofErr w:type="spellEnd"/>
      <w:r>
        <w:rPr>
          <w:color w:val="002060"/>
          <w:lang w:val="es-PE"/>
        </w:rPr>
        <w:t xml:space="preserve"> es, en principio, prospectiva con lo que es posible que resulten circunstancias a posteriori que afecten negativamente al animal, con lo que grado de severidad real sea distinto del estimado. Por ello, posteriormente, se </w:t>
      </w:r>
      <w:proofErr w:type="spellStart"/>
      <w:r>
        <w:rPr>
          <w:color w:val="002060"/>
          <w:lang w:val="es-PE"/>
        </w:rPr>
        <w:t>desarrollarán</w:t>
      </w:r>
      <w:proofErr w:type="spellEnd"/>
      <w:r>
        <w:rPr>
          <w:color w:val="002060"/>
          <w:lang w:val="es-PE"/>
        </w:rPr>
        <w:t xml:space="preserve"> los criterios de </w:t>
      </w:r>
      <w:proofErr w:type="spellStart"/>
      <w:r>
        <w:rPr>
          <w:color w:val="002060"/>
          <w:lang w:val="es-PE"/>
        </w:rPr>
        <w:t>clasificación</w:t>
      </w:r>
      <w:proofErr w:type="spellEnd"/>
      <w:r>
        <w:rPr>
          <w:color w:val="002060"/>
          <w:lang w:val="es-PE"/>
        </w:rPr>
        <w:t xml:space="preserve"> retrospectiva, para asignar la severidad real, y que </w:t>
      </w:r>
      <w:proofErr w:type="spellStart"/>
      <w:r>
        <w:rPr>
          <w:color w:val="002060"/>
          <w:lang w:val="es-PE"/>
        </w:rPr>
        <w:t>podra</w:t>
      </w:r>
      <w:proofErr w:type="spellEnd"/>
      <w:r>
        <w:rPr>
          <w:color w:val="002060"/>
          <w:lang w:val="es-PE"/>
        </w:rPr>
        <w:t xml:space="preserve">́ condicionar la </w:t>
      </w:r>
      <w:proofErr w:type="spellStart"/>
      <w:r>
        <w:rPr>
          <w:color w:val="002060"/>
          <w:lang w:val="es-PE"/>
        </w:rPr>
        <w:t>reutilización</w:t>
      </w:r>
      <w:proofErr w:type="spellEnd"/>
      <w:r>
        <w:rPr>
          <w:color w:val="002060"/>
          <w:lang w:val="es-PE"/>
        </w:rPr>
        <w:t xml:space="preserve"> de animales. </w:t>
      </w:r>
      <w:proofErr w:type="spellStart"/>
      <w:r>
        <w:rPr>
          <w:color w:val="002060"/>
          <w:lang w:val="es-PE"/>
        </w:rPr>
        <w:t>También</w:t>
      </w:r>
      <w:proofErr w:type="spellEnd"/>
      <w:r>
        <w:rPr>
          <w:color w:val="002060"/>
          <w:lang w:val="es-PE"/>
        </w:rPr>
        <w:t xml:space="preserve"> se </w:t>
      </w:r>
      <w:proofErr w:type="spellStart"/>
      <w:r>
        <w:rPr>
          <w:color w:val="002060"/>
          <w:lang w:val="es-PE"/>
        </w:rPr>
        <w:t>emplearán</w:t>
      </w:r>
      <w:proofErr w:type="spellEnd"/>
      <w:r>
        <w:rPr>
          <w:color w:val="002060"/>
          <w:lang w:val="es-PE"/>
        </w:rPr>
        <w:t xml:space="preserve"> para la </w:t>
      </w:r>
      <w:proofErr w:type="spellStart"/>
      <w:r>
        <w:rPr>
          <w:color w:val="002060"/>
          <w:lang w:val="es-PE"/>
        </w:rPr>
        <w:t>realización</w:t>
      </w:r>
      <w:proofErr w:type="spellEnd"/>
      <w:r>
        <w:rPr>
          <w:color w:val="002060"/>
          <w:lang w:val="es-PE"/>
        </w:rPr>
        <w:t xml:space="preserve"> de informes sobre datos </w:t>
      </w:r>
      <w:proofErr w:type="spellStart"/>
      <w:r>
        <w:rPr>
          <w:color w:val="002060"/>
          <w:lang w:val="es-PE"/>
        </w:rPr>
        <w:t>estadísticos</w:t>
      </w:r>
      <w:proofErr w:type="spellEnd"/>
      <w:r>
        <w:rPr>
          <w:color w:val="002060"/>
          <w:lang w:val="es-PE"/>
        </w:rPr>
        <w:t xml:space="preserve"> de uso y severidad. Para mayor información puede revisar la síntesis elaborada por el Comité de experimentación animal de la Universidad de Málaga a partir de lo establecido en la </w:t>
      </w:r>
      <w:r>
        <w:rPr>
          <w:color w:val="002060"/>
          <w:lang w:val="es-ES"/>
        </w:rPr>
        <w:t xml:space="preserve">Directiva </w:t>
      </w:r>
      <w:proofErr w:type="spellStart"/>
      <w:r>
        <w:rPr>
          <w:color w:val="002060"/>
          <w:lang w:val="es-ES"/>
        </w:rPr>
        <w:t>Nº</w:t>
      </w:r>
      <w:proofErr w:type="spellEnd"/>
      <w:r>
        <w:rPr>
          <w:color w:val="002060"/>
          <w:lang w:val="es-ES"/>
        </w:rPr>
        <w:t xml:space="preserve"> 2010/63/UE: </w:t>
      </w:r>
    </w:p>
    <w:p w:rsidR="00572D7B" w:rsidRDefault="00572D7B" w:rsidP="00572D7B">
      <w:pPr>
        <w:pStyle w:val="Textonotapie"/>
        <w:jc w:val="both"/>
        <w:rPr>
          <w:lang w:val="es-PE"/>
        </w:rPr>
      </w:pPr>
      <w:hyperlink r:id="rId1" w:history="1">
        <w:r>
          <w:rPr>
            <w:rStyle w:val="Hipervnculo"/>
            <w:lang w:val="es-ES"/>
          </w:rPr>
          <w:t>http://www.uma.es/publicadores/ceuma/wwwuma/Valoracion_de_la_severidad_de_un_procedimiento.pdf</w:t>
        </w:r>
      </w:hyperlink>
      <w:r>
        <w:rPr>
          <w:lang w:val="es-ES"/>
        </w:rPr>
        <w:t xml:space="preserve"> </w:t>
      </w:r>
    </w:p>
  </w:footnote>
  <w:footnote w:id="2">
    <w:p w:rsidR="00572D7B" w:rsidRDefault="00572D7B" w:rsidP="00572D7B">
      <w:pPr>
        <w:pStyle w:val="Textonotapie"/>
        <w:jc w:val="both"/>
        <w:rPr>
          <w:color w:val="002060"/>
          <w:lang w:val="es-PE"/>
        </w:rPr>
      </w:pPr>
      <w:r>
        <w:rPr>
          <w:rStyle w:val="Refdenotaalpie"/>
          <w:color w:val="002060"/>
        </w:rPr>
        <w:footnoteRef/>
      </w:r>
      <w:r>
        <w:rPr>
          <w:color w:val="002060"/>
          <w:lang w:val="es-PE"/>
        </w:rPr>
        <w:t xml:space="preserve"> </w:t>
      </w:r>
      <w:r>
        <w:rPr>
          <w:color w:val="002060"/>
          <w:lang w:val="es-ES"/>
        </w:rPr>
        <w:t xml:space="preserve">Clasificación de la severidad de los procedimientos prevista en la Directiva </w:t>
      </w:r>
      <w:proofErr w:type="spellStart"/>
      <w:r>
        <w:rPr>
          <w:color w:val="002060"/>
          <w:lang w:val="es-ES"/>
        </w:rPr>
        <w:t>Nº</w:t>
      </w:r>
      <w:proofErr w:type="spellEnd"/>
      <w:r>
        <w:rPr>
          <w:color w:val="002060"/>
          <w:lang w:val="es-ES"/>
        </w:rPr>
        <w:t xml:space="preserve"> 2010/63/UE. </w:t>
      </w:r>
      <w:r>
        <w:rPr>
          <w:color w:val="002060"/>
          <w:lang w:val="es-PE"/>
        </w:rPr>
        <w:t xml:space="preserve">Del Parlamento Europeo y del Consejo del 22 de septiembre de 2010. Relativa a la </w:t>
      </w:r>
      <w:proofErr w:type="spellStart"/>
      <w:r>
        <w:rPr>
          <w:color w:val="002060"/>
          <w:lang w:val="es-PE"/>
        </w:rPr>
        <w:t>protección</w:t>
      </w:r>
      <w:proofErr w:type="spellEnd"/>
      <w:r>
        <w:rPr>
          <w:color w:val="002060"/>
          <w:lang w:val="es-PE"/>
        </w:rPr>
        <w:t xml:space="preserve"> de los animales utilizados para fines de investigación. </w:t>
      </w:r>
    </w:p>
    <w:p w:rsidR="00572D7B" w:rsidRDefault="00572D7B" w:rsidP="00572D7B">
      <w:pPr>
        <w:pStyle w:val="Textonotapie"/>
        <w:rPr>
          <w:lang w:val="es-ES"/>
        </w:rPr>
      </w:pPr>
    </w:p>
  </w:footnote>
  <w:footnote w:id="3">
    <w:p w:rsidR="00572D7B" w:rsidRDefault="00572D7B" w:rsidP="00572D7B">
      <w:pPr>
        <w:pStyle w:val="Textonotapie"/>
        <w:jc w:val="both"/>
        <w:rPr>
          <w:color w:val="002060"/>
          <w:lang w:val="es-PE"/>
        </w:rPr>
      </w:pPr>
      <w:r>
        <w:rPr>
          <w:rStyle w:val="Refdenotaalpie"/>
          <w:color w:val="002060"/>
        </w:rPr>
        <w:footnoteRef/>
      </w:r>
      <w:r>
        <w:rPr>
          <w:color w:val="002060"/>
          <w:lang w:val="es-PE"/>
        </w:rPr>
        <w:t xml:space="preserve"> El punto final humanitario se define como el </w:t>
      </w:r>
      <w:r>
        <w:rPr>
          <w:color w:val="002060"/>
          <w:u w:val="single"/>
          <w:lang w:val="es-PE"/>
        </w:rPr>
        <w:t>momento anticipado</w:t>
      </w:r>
      <w:r>
        <w:rPr>
          <w:color w:val="002060"/>
          <w:lang w:val="es-PE"/>
        </w:rPr>
        <w:t xml:space="preserve"> en el cual se previene, alivia o termina el dolor y/o </w:t>
      </w:r>
      <w:proofErr w:type="spellStart"/>
      <w:r>
        <w:rPr>
          <w:color w:val="002060"/>
          <w:lang w:val="es-PE"/>
        </w:rPr>
        <w:t>diestrés</w:t>
      </w:r>
      <w:proofErr w:type="spellEnd"/>
      <w:r>
        <w:rPr>
          <w:color w:val="002060"/>
          <w:lang w:val="es-PE"/>
        </w:rPr>
        <w:t xml:space="preserve"> del animal mediante acciones tales como: eutanasia, finalización del procedimiento doloroso o administración de un tratamiento para aliviar el dolor o </w:t>
      </w:r>
      <w:proofErr w:type="spellStart"/>
      <w:r>
        <w:rPr>
          <w:color w:val="002060"/>
          <w:lang w:val="es-PE"/>
        </w:rPr>
        <w:t>diestrés</w:t>
      </w:r>
      <w:proofErr w:type="spellEnd"/>
      <w:r>
        <w:rPr>
          <w:color w:val="002060"/>
          <w:lang w:val="es-P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Pr="00EB7F61" w:rsidRDefault="00EB7F61" w:rsidP="00EB7F61">
    <w:pPr>
      <w:pStyle w:val="Encabezado"/>
    </w:pPr>
    <w:r>
      <w:ptab w:relativeTo="margin" w:alignment="left" w:leader="none"/>
    </w:r>
    <w:r>
      <w:rPr>
        <w:noProof/>
        <w:lang w:eastAsia="es-PE"/>
      </w:rPr>
      <w:drawing>
        <wp:inline distT="0" distB="0" distL="0" distR="0">
          <wp:extent cx="6238044" cy="4680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encias-de-la-v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04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A" w:rsidRDefault="00D47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2D3"/>
    <w:multiLevelType w:val="multilevel"/>
    <w:tmpl w:val="04243C0E"/>
    <w:lvl w:ilvl="0">
      <w:start w:val="1"/>
      <w:numFmt w:val="lowerLetter"/>
      <w:lvlText w:val="%1)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0760522"/>
    <w:multiLevelType w:val="hybridMultilevel"/>
    <w:tmpl w:val="0380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7A"/>
    <w:rsid w:val="000446AA"/>
    <w:rsid w:val="000C4C8C"/>
    <w:rsid w:val="000D2CC4"/>
    <w:rsid w:val="00572D7B"/>
    <w:rsid w:val="00652EC9"/>
    <w:rsid w:val="00687DF4"/>
    <w:rsid w:val="00726FF1"/>
    <w:rsid w:val="00973450"/>
    <w:rsid w:val="00B25641"/>
    <w:rsid w:val="00B7503D"/>
    <w:rsid w:val="00C47F5C"/>
    <w:rsid w:val="00CE3EFE"/>
    <w:rsid w:val="00D4767A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B0B28"/>
  <w15:chartTrackingRefBased/>
  <w15:docId w15:val="{21666F9D-3A9B-4EC4-A568-35CCDA5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6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67A"/>
  </w:style>
  <w:style w:type="paragraph" w:styleId="Piedepgina">
    <w:name w:val="footer"/>
    <w:basedOn w:val="Normal"/>
    <w:link w:val="PiedepginaCar"/>
    <w:uiPriority w:val="99"/>
    <w:unhideWhenUsed/>
    <w:rsid w:val="00D476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67A"/>
  </w:style>
  <w:style w:type="character" w:styleId="Hipervnculo">
    <w:name w:val="Hyperlink"/>
    <w:basedOn w:val="Fuentedeprrafopredeter"/>
    <w:uiPriority w:val="99"/>
    <w:semiHidden/>
    <w:unhideWhenUsed/>
    <w:rsid w:val="00572D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D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2D7B"/>
    <w:rPr>
      <w:rFonts w:ascii="Calibri" w:eastAsia="Calibri" w:hAnsi="Calibri" w:cs="Calibri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D7B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72D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572D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72D7B"/>
    <w:rPr>
      <w:vertAlign w:val="superscript"/>
    </w:rPr>
  </w:style>
  <w:style w:type="table" w:styleId="Tablaconcuadrcula">
    <w:name w:val="Table Grid"/>
    <w:basedOn w:val="Tablanormal"/>
    <w:uiPriority w:val="39"/>
    <w:rsid w:val="00572D7B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a.es/publicadores/ceuma/wwwuma/Valoracion_de_la_severidad_de_un_procedimiento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Liliana Zuñiga Cervantes</dc:creator>
  <cp:keywords/>
  <dc:description/>
  <cp:lastModifiedBy>ALICIA PEREZ GARCIA</cp:lastModifiedBy>
  <cp:revision>2</cp:revision>
  <cp:lastPrinted>2022-11-08T00:20:00Z</cp:lastPrinted>
  <dcterms:created xsi:type="dcterms:W3CDTF">2022-11-08T16:24:00Z</dcterms:created>
  <dcterms:modified xsi:type="dcterms:W3CDTF">2022-11-08T16:24:00Z</dcterms:modified>
</cp:coreProperties>
</file>